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万寻支付</w:t>
      </w:r>
    </w:p>
    <w:p>
      <w:pPr>
        <w:pStyle w:val="Title"/>
      </w:pPr>
      <w:r>
        <w:t>操作指导手册</w:t>
      </w:r>
    </w:p>
    <w:p>
      <w:r>
        <w:t>客户使用版  ·  V1.0  ·  2026年11月7日</w:t>
      </w:r>
    </w:p>
    <w:p>
      <w:r>
        <w:t>适用于租用系统的平台运营人员。帮助您完成开户、查单、费率设置、代付提交及日常对账；商户群和供应商群的操作已分别说明。</w:t>
      </w:r>
    </w:p>
    <w:p>
      <w:pPr>
        <w:pStyle w:val="Heading2"/>
      </w:pPr>
      <w:r>
        <w:t>开始使用前</w:t>
      </w:r>
    </w:p>
    <w:p>
      <w:r>
        <w:t>请使用交付时提供的后台网址和机器人。总后台、代理后台、商户后台使用各自入口；功能以已交付版本、开通项目和账号权限为准，未显示的入口请联系技术支持确认。</w:t>
      </w:r>
    </w:p>
    <w:p>
      <w:r>
        <w:t>涉及补单、回调、余额、费率和打款的操作，请先核对对象、金额及业务凭证，再由有权限的人员执行。命令示例中的商户号、订单号、地址及金额均需替换。</w:t>
      </w:r>
    </w:p>
    <w:p>
      <w:pPr>
        <w:pStyle w:val="Heading2"/>
      </w:pPr>
      <w:r>
        <w:t>按任务查阅</w:t>
      </w:r>
    </w:p>
    <w:p>
      <w:pPr>
        <w:spacing w:line="340" w:lineRule="exact" w:after="0"/>
      </w:pPr>
      <w:hyperlink w:anchor="chapter_1">
        <w:r>
          <w:rPr>
            <w:sz w:val="20"/>
          </w:rPr>
          <w:t>一 开户与群组绑定  ·  第2页</w:t>
        </w:r>
      </w:hyperlink>
      <w:r>
        <w:br/>
      </w:r>
      <w:hyperlink w:anchor="chapter_2">
        <w:r>
          <w:rPr>
            <w:sz w:val="20"/>
          </w:rPr>
          <w:t>二 机器人常用查询  ·  第3页</w:t>
        </w:r>
      </w:hyperlink>
      <w:r>
        <w:br/>
      </w:r>
      <w:hyperlink w:anchor="chapter_3">
        <w:r>
          <w:rPr>
            <w:sz w:val="20"/>
          </w:rPr>
          <w:t>三 代收查单与订单处理  ·  第4页</w:t>
        </w:r>
      </w:hyperlink>
      <w:r>
        <w:br/>
      </w:r>
      <w:hyperlink w:anchor="chapter_4">
        <w:r>
          <w:rPr>
            <w:sz w:val="20"/>
          </w:rPr>
          <w:t>四 余额与预付管理  ·  第5页</w:t>
        </w:r>
      </w:hyperlink>
      <w:r>
        <w:br/>
      </w:r>
      <w:hyperlink w:anchor="chapter_5">
        <w:r>
          <w:rPr>
            <w:sz w:val="20"/>
          </w:rPr>
          <w:t>五 费率查看与修改  ·  第6页</w:t>
        </w:r>
      </w:hyperlink>
      <w:r>
        <w:br/>
      </w:r>
      <w:hyperlink w:anchor="chapter_6">
        <w:r>
          <w:rPr>
            <w:sz w:val="20"/>
          </w:rPr>
          <w:t>六 商户分组管理  ·  第7页</w:t>
        </w:r>
      </w:hyperlink>
      <w:r>
        <w:br/>
      </w:r>
      <w:hyperlink w:anchor="chapter_7">
        <w:r>
          <w:rPr>
            <w:sz w:val="20"/>
          </w:rPr>
          <w:t>七 供应商与产品配置  ·  第8页</w:t>
        </w:r>
      </w:hyperlink>
      <w:r>
        <w:br/>
      </w:r>
      <w:hyperlink w:anchor="chapter_8">
        <w:r>
          <w:rPr>
            <w:sz w:val="20"/>
          </w:rPr>
          <w:t>八 提交代付订单  ·  第9页</w:t>
        </w:r>
      </w:hyperlink>
      <w:r>
        <w:br/>
      </w:r>
      <w:hyperlink w:anchor="chapter_9">
        <w:r>
          <w:rPr>
            <w:sz w:val="20"/>
          </w:rPr>
          <w:t>九 代付查单与撤单  ·  第10页</w:t>
        </w:r>
      </w:hyperlink>
      <w:r>
        <w:br/>
      </w:r>
      <w:hyperlink w:anchor="chapter_10">
        <w:r>
          <w:rPr>
            <w:sz w:val="20"/>
          </w:rPr>
          <w:t>十 自动打款与地址使用  ·  第11页</w:t>
        </w:r>
      </w:hyperlink>
      <w:r>
        <w:br/>
      </w:r>
      <w:hyperlink w:anchor="chapter_11">
        <w:r>
          <w:rPr>
            <w:sz w:val="20"/>
          </w:rPr>
          <w:t>十一 通知与群聊管理  ·  第12页</w:t>
        </w:r>
      </w:hyperlink>
      <w:r>
        <w:br/>
      </w:r>
      <w:hyperlink w:anchor="chapter_12">
        <w:r>
          <w:rPr>
            <w:sz w:val="20"/>
          </w:rPr>
          <w:t>十二 统计对账与每日结算  ·  第13页</w:t>
        </w:r>
      </w:hyperlink>
      <w:r>
        <w:br/>
      </w:r>
      <w:hyperlink w:anchor="chapter_13">
        <w:r>
          <w:rPr>
            <w:sz w:val="20"/>
          </w:rPr>
          <w:t>十三 对接测试与问题反馈  ·  第14页</w:t>
        </w:r>
      </w:hyperlink>
      <w:r>
        <w:br/>
      </w:r>
    </w:p>
    <w:p>
      <w:pPr>
        <w:pStyle w:val="Heading2"/>
      </w:pPr>
      <w:r>
        <w:t>版本说明</w:t>
      </w:r>
    </w:p>
    <w:p>
      <w:r>
        <w:t>本版将后台常用操作与截至2026年11月5日的功能说明合并整理。后续请使用版本号和日期更新的手册；同一事项不再按历史公告逐条查找。</w:t>
      </w:r>
    </w:p>
    <w:p>
      <w:bookmarkStart w:id="100" w:name="chapter_1"/>
      <w:pPr>
        <w:pStyle w:val="Heading1"/>
      </w:pPr>
      <w:r>
        <w:t>一 开户与群组绑定</w:t>
      </w:r>
      <w:bookmarkEnd w:id="100"/>
    </w:p>
    <w:p>
      <w:pPr>
        <w:pStyle w:val="Heading2"/>
      </w:pPr>
      <w:r>
        <w:t>后台开户与账户检查</w:t>
      </w:r>
    </w:p>
    <w:p>
      <w:r>
        <w:t>在用户管理的商户列表中搜索或新增商户，先确认商户名称及代收、代付业务类型。开户后检查产品是否开放、费率是否正确，以及机器人绑定的群是否属于该商户。</w:t>
      </w:r>
    </w:p>
    <w:p>
      <w:r>
        <w:t>商户列表支持模糊搜索。开通后仍应逐项检查产品配置，不需要提供的产品请关闭。</w:t>
      </w:r>
    </w:p>
    <w:p>
      <w:pPr>
        <w:pStyle w:val="Heading2"/>
      </w:pPr>
      <w:r>
        <w:t>在群内开户</w:t>
      </w:r>
    </w:p>
    <w:p>
      <w:r>
        <w:t>将官方机器人加入目标群，由有权限的人员发送相应命令。代收开户可自动绑定；代付开户后请检查绑定结果。</w:t>
      </w:r>
    </w:p>
    <w:p>
      <w:pPr>
        <w:spacing w:after="100"/>
        <w:ind w:left="142"/>
      </w:pPr>
      <w:r>
        <w:rPr>
          <w:b/>
          <w:sz w:val="20"/>
        </w:rPr>
        <w:t>@机器人 代收开户 商户名称</w:t>
      </w:r>
    </w:p>
    <w:p>
      <w:pPr>
        <w:spacing w:after="100"/>
        <w:ind w:left="142"/>
      </w:pPr>
      <w:r>
        <w:rPr>
          <w:b/>
          <w:sz w:val="20"/>
        </w:rPr>
        <w:t>@机器人 代付开户 商户名称</w:t>
      </w:r>
    </w:p>
    <w:p>
      <w:pPr>
        <w:pStyle w:val="Heading2"/>
      </w:pPr>
      <w:r>
        <w:t>绑定已有对象</w:t>
      </w:r>
    </w:p>
    <w:p>
      <w:r>
        <w:t>在对应业务群发送绑定命令，按机器人提示填写已有编号。绑定成功后发送 shye，核对返回名称和业务对象。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3402"/>
        <w:gridCol w:w="4819"/>
      </w:tblGrid>
      <w:tr>
        <w:trPr>
          <w:tblHeader/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群类型</w:t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命令格式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绑定后用途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管理组</w:t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绑定管理组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查看平台汇总及执行管理操作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商户群</w:t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绑定商户&lt;商户编号&gt;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查询及处理该商户相关业务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供应商群</w:t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绑定供应商&lt;供应商编号&gt;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查询及处理该供应商相关业务</w:t>
            </w:r>
          </w:p>
        </w:tc>
      </w:tr>
    </w:tbl>
    <w:p>
      <w:r/>
    </w:p>
    <w:p>
      <w:r>
        <w:t>上表尖括号内为占位文字，请将尖括号及其中内容一起替换为实际编号。绑定命令的具体输入提示可通过 /start 查看。</w:t>
      </w:r>
    </w:p>
    <w:p>
      <w:pPr>
        <w:pStyle w:val="Heading2"/>
      </w:pPr>
      <w:r>
        <w:t>换群与解除绑定</w:t>
      </w:r>
    </w:p>
    <w:p>
      <w:r>
        <w:t>换群时先核对新旧群归属，处理旧群绑定，再检查新群返回的信息。需要退出并解除当前绑定时，发送“@机器人 退群”。也可在 TG管理的群聊列表检查、处理旧群记录。</w:t>
      </w:r>
    </w:p>
    <w:p>
      <w:bookmarkStart w:id="101" w:name="chapter_2"/>
      <w:pPr>
        <w:pStyle w:val="Heading1"/>
      </w:pPr>
      <w:r>
        <w:t>二 机器人常用查询</w:t>
      </w:r>
      <w:bookmarkEnd w:id="101"/>
    </w:p>
    <w:p>
      <w:r>
        <w:t>先确认当前群已绑定正确对象。同一查询在管理组、商户群、供应商群中返回的范围不同；资金和管理类命令由有权限的人员使用。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2381"/>
        <w:gridCol w:w="5272"/>
      </w:tblGrid>
      <w:tr>
        <w:trPr>
          <w:tblHeader/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命令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作用</w:t>
            </w:r>
          </w:p>
        </w:tc>
        <w:tc>
          <w:tcPr>
            <w:tcW w:type="dxa" w:w="5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使用说明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/start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查看帮助</w:t>
            </w:r>
          </w:p>
        </w:tc>
        <w:tc>
          <w:tcPr>
            <w:tcW w:type="dxa" w:w="5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优先查看当前机器人的命令提示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shye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查看概览</w:t>
            </w:r>
          </w:p>
        </w:tc>
        <w:tc>
          <w:tcPr>
            <w:tcW w:type="dxa" w:w="5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管理组看汇总，业务群看绑定对象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zd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查看今日账单</w:t>
            </w:r>
          </w:p>
        </w:tc>
        <w:tc>
          <w:tcPr>
            <w:tcW w:type="dxa" w:w="5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核对当前群的账单对象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zrzd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查看昨日账单</w:t>
            </w:r>
          </w:p>
        </w:tc>
        <w:tc>
          <w:tcPr>
            <w:tcW w:type="dxa" w:w="5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适用于日常对账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tdcx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查看产品费率</w:t>
            </w:r>
          </w:p>
        </w:tc>
        <w:tc>
          <w:tcPr>
            <w:tcW w:type="dxa" w:w="5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商户群可获取快捷修改格式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dz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查看地址</w:t>
            </w:r>
          </w:p>
        </w:tc>
        <w:tc>
          <w:tcPr>
            <w:tcW w:type="dxa" w:w="5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打款前仍需核对收款方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uz / uk / uw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查看对应价格</w:t>
            </w:r>
          </w:p>
        </w:tc>
        <w:tc>
          <w:tcPr>
            <w:tcW w:type="dxa" w:w="5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分别为支付宝、银行卡、微信价格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c 订单号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查单加急或催单</w:t>
            </w:r>
          </w:p>
        </w:tc>
        <w:tc>
          <w:tcPr>
            <w:tcW w:type="dxa" w:w="5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请带准确订单号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cd 订单号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查询代付订单</w:t>
            </w:r>
          </w:p>
        </w:tc>
        <w:tc>
          <w:tcPr>
            <w:tcW w:type="dxa" w:w="52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支持商户单号或系统单号</w:t>
            </w:r>
          </w:p>
        </w:tc>
      </w:tr>
    </w:tbl>
    <w:p>
      <w:r/>
    </w:p>
    <w:p>
      <w:pPr>
        <w:pStyle w:val="Heading2"/>
      </w:pPr>
      <w:r>
        <w:t>指定日期总账单</w:t>
      </w:r>
    </w:p>
    <w:p>
      <w:r>
        <w:t>管理组可查询近七日指定日期的总账单。格式为 shye 加月日，中间不加空格，例如：</w:t>
      </w:r>
    </w:p>
    <w:p>
      <w:pPr>
        <w:spacing w:after="100"/>
        <w:ind w:left="142"/>
      </w:pPr>
      <w:r>
        <w:rPr>
          <w:b/>
          <w:sz w:val="20"/>
        </w:rPr>
        <w:t>shye11.2</w:t>
      </w:r>
    </w:p>
    <w:p>
      <w:r>
        <w:t>查询范围为该日 00:00:00 至 23:59:59。查其他日期时替换月日；超出可查询范围时请到后台按时间筛选。</w:t>
      </w:r>
    </w:p>
    <w:p>
      <w:pPr>
        <w:pStyle w:val="Heading2"/>
      </w:pPr>
      <w:r>
        <w:t>删除机器人消息</w:t>
      </w:r>
    </w:p>
    <w:p>
      <w:r>
        <w:t>回复要处理的机器人消息并发送“删除”。删除消息仅用于整理群聊，不能作为订单、账目或打款已撤销的依据。</w:t>
      </w:r>
    </w:p>
    <w:p>
      <w:pPr>
        <w:pStyle w:val="Heading2"/>
      </w:pPr>
      <w:r>
        <w:t>找不到命令时</w:t>
      </w:r>
    </w:p>
    <w:p>
      <w:r>
        <w:t>在当前群发送 /start；需要辅助机器人解答时，在群内 @它或回复它的消息，说明要完成的操作。不要把登录密码、密钥或验证码发到群里。</w:t>
      </w:r>
    </w:p>
    <w:p>
      <w:bookmarkStart w:id="102" w:name="chapter_3"/>
      <w:pPr>
        <w:pStyle w:val="Heading1"/>
      </w:pPr>
      <w:r>
        <w:t>三 代收查单与订单处理</w:t>
      </w:r>
      <w:bookmarkEnd w:id="102"/>
    </w:p>
    <w:p>
      <w:pPr>
        <w:pStyle w:val="Heading2"/>
      </w:pPr>
      <w:r>
        <w:t>查询订单</w:t>
      </w:r>
    </w:p>
    <w:p>
      <w:r>
        <w:t>1. 进入订单管理，使用订单号和时间范围定位订单；可通过“昨日”“7日”“30日”等快捷项筛选。</w:t>
      </w:r>
    </w:p>
    <w:p>
      <w:r>
        <w:t>2. 未出码订单可能不在默认列表中，请在支付状态筛选项中选择相应状态。列表支持自动刷新。</w:t>
      </w:r>
    </w:p>
    <w:p>
      <w:r>
        <w:t>3. 需要催办时，在绑定群发送“c 订单号”。催单可提醒对应供应商处理；供应商通知人需提前设置。</w:t>
      </w:r>
    </w:p>
    <w:p>
      <w:pPr>
        <w:pStyle w:val="Heading2"/>
      </w:pPr>
      <w:r>
        <w:t>补单与回调怎么选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3061"/>
        <w:gridCol w:w="5443"/>
      </w:tblGrid>
      <w:tr>
        <w:trPr>
          <w:tblHeader/>
          <w:cantSplit/>
        </w:trP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操作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适用情况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执行后的主要效果</w:t>
            </w:r>
          </w:p>
        </w:tc>
      </w:tr>
      <w:tr>
        <w:trPr>
          <w:cantSplit/>
        </w:trP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补单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重复支付、线下款项、需另行登记的金额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生成关联补单记录并影响相关账目，不向商户发送支付回调；原订单基础状态不因此改变</w:t>
            </w:r>
          </w:p>
        </w:tc>
      </w:tr>
      <w:tr>
        <w:trPr>
          <w:cantSplit/>
        </w:trP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回调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核实已支付后，需要处理订单状态并通知商户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涉及支付状态、相关账目及商户通知，必须先核实订单和收款情况</w:t>
            </w:r>
          </w:p>
        </w:tc>
      </w:tr>
    </w:tbl>
    <w:p>
      <w:r/>
    </w:p>
    <w:p>
      <w:pPr>
        <w:pStyle w:val="Heading2"/>
      </w:pPr>
      <w:r>
        <w:t>机器人补单</w:t>
      </w:r>
    </w:p>
    <w:p>
      <w:pPr>
        <w:spacing w:after="100"/>
        <w:ind w:left="142"/>
      </w:pPr>
      <w:r>
        <w:rPr>
          <w:b/>
          <w:sz w:val="20"/>
        </w:rPr>
        <w:t>M202611050001 补单200</w:t>
      </w:r>
    </w:p>
    <w:p>
      <w:r>
        <w:t>示例中补单金额为200元。核对原单、实际收到的款项及已记账情况后执行；查看返回的补单号、金额、手续费和到账金额，必要时将线下入账说明发给商户。补单手续费以操作返回结果为准。</w:t>
      </w:r>
    </w:p>
    <w:p>
      <w:r>
        <w:t>补单适合登记另外需要入账的款项，不应在未核实影响时用于直接替换原订单金额。</w:t>
      </w:r>
    </w:p>
    <w:p>
      <w:pPr>
        <w:pStyle w:val="Heading2"/>
      </w:pPr>
      <w:r>
        <w:t>机器人回调</w:t>
      </w:r>
    </w:p>
    <w:p>
      <w:pPr>
        <w:spacing w:after="100"/>
        <w:ind w:left="142"/>
      </w:pPr>
      <w:r>
        <w:rPr>
          <w:b/>
          <w:sz w:val="20"/>
        </w:rPr>
        <w:t>M202611050001 回调</w:t>
      </w:r>
    </w:p>
    <w:p>
      <w:r>
        <w:t>先核实真实支付凭证、原单状态和既有处理记录，再执行。操作后检查返回状态及商户通知结果；对方反馈未收到时，先排查，不要连续重复提交。</w:t>
      </w:r>
    </w:p>
    <w:p>
      <w:pPr>
        <w:pStyle w:val="Heading2"/>
      </w:pPr>
      <w:r>
        <w:t>待确认与异常订单</w:t>
      </w:r>
    </w:p>
    <w:p>
      <w:r>
        <w:t>管理群出现订单待确认提示时，先查单并核对支付凭证，再按提示处理。无法判断是否已支付、是否已入账时，将订单号和相关证据交技术支持排查。</w:t>
      </w:r>
    </w:p>
    <w:p>
      <w:bookmarkStart w:id="103" w:name="chapter_4"/>
      <w:pPr>
        <w:pStyle w:val="Heading1"/>
      </w:pPr>
      <w:r>
        <w:t>四 余额与预付管理</w:t>
      </w:r>
      <w:bookmarkEnd w:id="103"/>
    </w:p>
    <w:p>
      <w:pPr>
        <w:pStyle w:val="Heading2"/>
      </w:pPr>
      <w:r>
        <w:t>操作前先核对</w:t>
      </w:r>
    </w:p>
    <w:p>
      <w:r>
        <w:t>在对应商户群或供应商群查询 shye、zd，确认当前对象和金额。预付与余额是不同项目，不能只凭群消息中的一个数字判断是否已完成收付款。</w:t>
      </w:r>
    </w:p>
    <w:p>
      <w:pPr>
        <w:pStyle w:val="Heading2"/>
      </w:pPr>
      <w:r>
        <w:t>代收群常用记账格式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324"/>
        <w:gridCol w:w="4819"/>
      </w:tblGrid>
      <w:tr>
        <w:trPr>
          <w:tblHeader/>
          <w:cantSplit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命令格式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用途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示例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+数量*价格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增加预付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+100*7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-数量*价格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减少预付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-100*7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入款数量*价格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增加余额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入款100*7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出款数量*价格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减少余额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出款100*7</w:t>
            </w:r>
          </w:p>
        </w:tc>
      </w:tr>
    </w:tbl>
    <w:p>
      <w:r/>
    </w:p>
    <w:p>
      <w:r>
        <w:t>示例只演示填写格式。数量和价格应按实际交易填写，操作后以机器人的结果及后台账目核对为准；不要把示例当作实际汇率或结算金额。</w:t>
      </w:r>
    </w:p>
    <w:p>
      <w:pPr>
        <w:pStyle w:val="Heading2"/>
      </w:pPr>
      <w:r>
        <w:t>代付群记账</w:t>
      </w:r>
    </w:p>
    <w:p>
      <w:r>
        <w:t>代付商户和供应商群可使用“+数量*U价格”格式记账。请先查看当前机器人帮助并核对调整方向；其他增减方式及余额项目不明确时，联系运营人员确认后再操作。</w:t>
      </w:r>
    </w:p>
    <w:p>
      <w:pPr>
        <w:pStyle w:val="Heading2"/>
      </w:pPr>
      <w:r>
        <w:t>后台资金调整</w:t>
      </w:r>
    </w:p>
    <w:p>
      <w:r>
        <w:t>1. 在商户或供应商列表定位目标，进入相应资金调整入口。</w:t>
      </w:r>
    </w:p>
    <w:p>
      <w:r>
        <w:t>2. 明确调整的是余额还是预付，核对增加或减少方向、金额及对应凭证。</w:t>
      </w:r>
    </w:p>
    <w:p>
      <w:r>
        <w:t>3. 提交后查询账单和概览，确认已产生预期记录；异常时先查记录，不要再次提交同笔调整。</w:t>
      </w:r>
    </w:p>
    <w:p>
      <w:pPr>
        <w:pStyle w:val="Heading2"/>
      </w:pPr>
      <w:r>
        <w:t>日常核账</w:t>
      </w:r>
    </w:p>
    <w:p>
      <w:r>
        <w:t>将实际收付款凭证、机器人返回结果和后台账目一起核对。跨日时先确认查询日期和结算状态；账目不一致时保留订单号、操作时间与金额，交运营人员处理。</w:t>
      </w:r>
    </w:p>
    <w:p>
      <w:pPr>
        <w:pStyle w:val="Heading2"/>
      </w:pPr>
      <w:r>
        <w:t>下U申请占用的资金</w:t>
      </w:r>
    </w:p>
    <w:p>
      <w:r>
        <w:t>自动打款申请长时间未完成时，先查对应记录和管理群确认情况。确认不再执行后，由有权限的人员处理撤回并检查资金状态，避免申请仍在执行时另行重复打款。</w:t>
      </w:r>
    </w:p>
    <w:p>
      <w:bookmarkStart w:id="104" w:name="chapter_5"/>
      <w:pPr>
        <w:pStyle w:val="Heading1"/>
      </w:pPr>
      <w:r>
        <w:t>五 费率查看与修改</w:t>
      </w:r>
      <w:bookmarkEnd w:id="104"/>
    </w:p>
    <w:p>
      <w:pPr>
        <w:pStyle w:val="Heading2"/>
      </w:pPr>
      <w:r>
        <w:t>先确认修改范围</w:t>
      </w:r>
    </w:p>
    <w:p>
      <w:r>
        <w:t>发送 tdcx 查看当前费率。管理组用于修改平台的商户默认费率，商户群用于修改该商户费率，供应商群用于修改对应供应商费率。提交前确认当前群、产品编码和修改范围。</w:t>
      </w:r>
    </w:p>
    <w:p>
      <w:pPr>
        <w:pStyle w:val="Heading2"/>
      </w:pPr>
      <w:r>
        <w:t>单个或多个产品</w:t>
      </w:r>
    </w:p>
    <w:p>
      <w:pPr>
        <w:spacing w:after="100"/>
        <w:ind w:left="142"/>
      </w:pPr>
      <w:r>
        <w:rPr>
          <w:b/>
          <w:sz w:val="20"/>
        </w:rPr>
        <w:t>修改费率 1100/4 1200/5</w:t>
      </w:r>
    </w:p>
    <w:p>
      <w:r>
        <w:t>上例表示将对应产品的费率分别填写为4、5。使用本平台的实际产品编码，费率数值按页面或机器人显示的百分比口径填写。产品编码无法确定时，先查 tdcx 或后台产品列表。</w:t>
      </w:r>
    </w:p>
    <w:p>
      <w:pPr>
        <w:pStyle w:val="Heading2"/>
      </w:pPr>
      <w:r>
        <w:t>整体上调费率</w:t>
      </w:r>
    </w:p>
    <w:p>
      <w:pPr>
        <w:spacing w:after="100"/>
        <w:ind w:left="142"/>
      </w:pPr>
      <w:r>
        <w:rPr>
          <w:b/>
          <w:sz w:val="20"/>
        </w:rPr>
        <w:t>修改费率 1100/4 1200/5 1300/6+0.5</w:t>
      </w:r>
    </w:p>
    <w:p>
      <w:r>
        <w:t>末尾的“+0.5”表示在本条命令所列费率上整体增加0.5个百分点。上例对应4.5、5.5、6.5。其他调整方式请先通过 /start 查看当前帮助。</w:t>
      </w:r>
    </w:p>
    <w:p>
      <w:pPr>
        <w:pStyle w:val="Heading2"/>
      </w:pPr>
      <w:r>
        <w:t>修改后检查</w:t>
      </w:r>
    </w:p>
    <w:p>
      <w:r>
        <w:t>1. 再次发送 tdcx 或进入后台，检查保存后的费率。</w:t>
      </w:r>
    </w:p>
    <w:p>
      <w:r>
        <w:t>2. 如已启用费率变更通知，检查商户群是否收到通知；此通知功能可单独开关。</w:t>
      </w:r>
    </w:p>
    <w:p>
      <w:r>
        <w:t>3. 涉及多个商户时，抽查相应商户的产品配置，确认修改对象与预期一致。</w:t>
      </w:r>
    </w:p>
    <w:p>
      <w:pPr>
        <w:pStyle w:val="Heading2"/>
      </w:pPr>
      <w:r>
        <w:t>供应商费率变化提醒</w:t>
      </w:r>
    </w:p>
    <w:p>
      <w:r>
        <w:t>已开通费率变化辅助识别功能时，可将提醒用于查漏补缺。仍应人工核对供应商实际价格与后台费率，不要仅凭自动识别提示认定全部修改完成。</w:t>
      </w:r>
    </w:p>
    <w:p>
      <w:pPr>
        <w:pStyle w:val="Heading2"/>
      </w:pPr>
      <w:r>
        <w:t>避免误改</w:t>
      </w:r>
    </w:p>
    <w:p>
      <w:r>
        <w:t>商户专属费率和默认费率要分别检查。批量调整前确认产品编码和范围；发现修改错误时，先核实本次受影响对象，再按确认后的费率更正，避免扩大修改范围。</w:t>
      </w:r>
    </w:p>
    <w:p>
      <w:bookmarkStart w:id="105" w:name="chapter_6"/>
      <w:pPr>
        <w:pStyle w:val="Heading1"/>
      </w:pPr>
      <w:r>
        <w:t>六 商户分组管理</w:t>
      </w:r>
      <w:bookmarkEnd w:id="105"/>
    </w:p>
    <w:p>
      <w:r>
        <w:t>分组用于集中查看和维护一批商户。以下命令在管理组中由有权限的人员使用；分组名称和商户号需替换为实际内容。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rPr>
          <w:tblHeader/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操作</w:t>
            </w:r>
          </w:p>
        </w:tc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命令示例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查看分组</w:t>
            </w:r>
          </w:p>
        </w:tc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分组列表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查看组内商户</w:t>
            </w:r>
          </w:p>
        </w:tc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查询分组 分组2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查看分组费率</w:t>
            </w:r>
          </w:p>
        </w:tc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查询分组费率 分组2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新建分组</w:t>
            </w:r>
          </w:p>
        </w:tc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新建商户分组 分组6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停用分组</w:t>
            </w:r>
          </w:p>
        </w:tc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停用商户分组 分组6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商户加入分组</w:t>
            </w:r>
          </w:p>
        </w:tc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商户加入分组 分组2 C商户号1 C商户号2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商户移动分组</w:t>
            </w:r>
          </w:p>
        </w:tc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商户移动分组 分组4 C商户号1 C商户号2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商户移出分组</w:t>
            </w:r>
          </w:p>
        </w:tc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商户移出分组 C商户号1 C商户号2</w:t>
            </w:r>
          </w:p>
        </w:tc>
      </w:tr>
    </w:tbl>
    <w:p>
      <w:r/>
    </w:p>
    <w:p>
      <w:pPr>
        <w:pStyle w:val="Heading2"/>
      </w:pPr>
      <w:r>
        <w:t>修改分组费率</w:t>
      </w:r>
    </w:p>
    <w:p>
      <w:pPr>
        <w:spacing w:after="100"/>
        <w:ind w:left="142"/>
      </w:pPr>
      <w:r>
        <w:rPr>
          <w:b/>
          <w:sz w:val="20"/>
        </w:rPr>
        <w:t>修改费率 分组2+1110/3.4 1200/3.5+0.5</w:t>
      </w:r>
    </w:p>
    <w:p>
      <w:r>
        <w:t>示例中末尾“+0.5”为整体上调，所列费率对应3.9、4.0。请先查询分组成员和当前费率，再执行修改。</w:t>
      </w:r>
    </w:p>
    <w:p>
      <w:r>
        <w:rPr>
          <w:b/>
        </w:rPr>
        <w:t>注意：</w:t>
      </w:r>
      <w:r>
        <w:t>管理组修改分组费率，会覆盖该组全部商户的对应费率。提交前检查需要保留特殊费率的商户，修改后核对组内结果。</w:t>
      </w:r>
    </w:p>
    <w:p>
      <w:pPr>
        <w:pStyle w:val="Heading2"/>
      </w:pPr>
      <w:r>
        <w:t>建议的操作顺序</w:t>
      </w:r>
    </w:p>
    <w:p>
      <w:r>
        <w:t>1. 新建或查询分组，核实组名。</w:t>
      </w:r>
    </w:p>
    <w:p>
      <w:r>
        <w:t>2. 加入或移动商户后，再查询一次成员列表。</w:t>
      </w:r>
    </w:p>
    <w:p>
      <w:r>
        <w:t>3. 核对分组费率并按需修改，最后抽查商户实际费率。</w:t>
      </w:r>
    </w:p>
    <w:p>
      <w:r>
        <w:t>停用分组后应检查返回结果，不要把停用分组当作商户业务已停用的依据。</w:t>
      </w:r>
    </w:p>
    <w:p>
      <w:bookmarkStart w:id="106" w:name="chapter_7"/>
      <w:pPr>
        <w:pStyle w:val="Heading1"/>
      </w:pPr>
      <w:r>
        <w:t>七 供应商与产品配置</w:t>
      </w:r>
      <w:bookmarkEnd w:id="106"/>
    </w:p>
    <w:p>
      <w:pPr>
        <w:pStyle w:val="Heading2"/>
      </w:pPr>
      <w:r>
        <w:t>接入供应商</w:t>
      </w:r>
    </w:p>
    <w:p>
      <w:r>
        <w:t>在供应商列表录入供应商资料。开发配置中的网关和接入配置项请按技术支持确认的内容填写，不要自行猜测或照搬其他供应商。新供应商的接口资料交技术支持处理，完成后再核对通道与测试结果。</w:t>
      </w:r>
    </w:p>
    <w:p>
      <w:pPr>
        <w:pStyle w:val="Heading2"/>
      </w:pPr>
      <w:r>
        <w:t>新增上游通道</w:t>
      </w:r>
    </w:p>
    <w:p>
      <w:r>
        <w:t>可在上游通道管理中新增，也可在对应供应商群按格式批量发送。名称尽量统一，便于后续搜索和配置。代收示例：</w:t>
      </w:r>
    </w:p>
    <w:p>
      <w:pPr>
        <w:spacing w:after="100"/>
        <w:ind w:left="142"/>
      </w:pPr>
      <w:r>
        <w:rPr>
          <w:b/>
          <w:sz w:val="20"/>
        </w:rPr>
        <w:t>新增通道</w:t>
        <w:br/>
        <w:t>1513+示例产品200起+1.8+200-1000</w:t>
      </w:r>
    </w:p>
    <w:p>
      <w:r>
        <w:t>依次填写通道编码、名称、费率、最低金额与最高金额。多条通道可按同一格式逐行填写；请使用供应商实际提供的编码和金额范围。</w:t>
      </w:r>
    </w:p>
    <w:p>
      <w:pPr>
        <w:pStyle w:val="Heading2"/>
      </w:pPr>
      <w:r>
        <w:t>新增代付通道</w:t>
      </w:r>
    </w:p>
    <w:p>
      <w:pPr>
        <w:spacing w:after="100"/>
        <w:ind w:left="142"/>
      </w:pPr>
      <w:r>
        <w:rPr>
          <w:b/>
          <w:sz w:val="20"/>
        </w:rPr>
        <w:t>新增通道</w:t>
        <w:br/>
        <w:t>1100+支付宝转支付宝+0+支付宝+100-10000</w:t>
      </w:r>
    </w:p>
    <w:p>
      <w:r>
        <w:t>代付格式增加“收款类型”一项：通道编码+通道名称+费率+收款类型+最低金额-最高金额。收款类型分为支付宝、银行卡、微信、U。</w:t>
      </w:r>
    </w:p>
    <w:p>
      <w:pPr>
        <w:pStyle w:val="Heading2"/>
      </w:pPr>
      <w:r>
        <w:t>为产品配置可用通道</w:t>
      </w:r>
    </w:p>
    <w:p>
      <w:r>
        <w:t>进入产品管理的配置通道入口，按名称或关键词搜索，核对结果后使用“全选可见”并保存。提交前检查选中范围、金额范围和产品归属，避免把相似名称的通道误选进去。</w:t>
      </w:r>
    </w:p>
    <w:p>
      <w:pPr>
        <w:pStyle w:val="Heading2"/>
      </w:pPr>
      <w:r>
        <w:t>通道测试与交付检查</w:t>
      </w:r>
    </w:p>
    <w:p>
      <w:r>
        <w:t>上游通道管理支持输入金额进行拉单测试。先确认测试条件和金额，再检查是否返回预期结果；拉单成功不代表真实支付、商户通知或结算已完成。</w:t>
      </w:r>
    </w:p>
    <w:p>
      <w:r>
        <w:t>正式开放前核对供应商、通道编码、收款类型、金额范围、费率及商户产品配置。产品无法使用时，先检查是否开通，再联系技术支持。</w:t>
      </w:r>
    </w:p>
    <w:p>
      <w:pPr>
        <w:pStyle w:val="Heading2"/>
      </w:pPr>
      <w:r>
        <w:t>供应商额度提醒</w:t>
      </w:r>
    </w:p>
    <w:p>
      <w:r>
        <w:t>按实际业务配置供应商额度预警。收到余额或额度不足提示时，核对余额与通道状态，再补充资金或调整业务安排。</w:t>
      </w:r>
    </w:p>
    <w:p>
      <w:bookmarkStart w:id="107" w:name="chapter_8"/>
      <w:pPr>
        <w:pStyle w:val="Heading1"/>
      </w:pPr>
      <w:r>
        <w:t>八 提交代付订单</w:t>
      </w:r>
      <w:bookmarkEnd w:id="107"/>
    </w:p>
    <w:p>
      <w:pPr>
        <w:pStyle w:val="Heading2"/>
      </w:pPr>
      <w:r>
        <w:t>先选择提交方式</w:t>
      </w:r>
    </w:p>
    <w:p>
      <w:r>
        <w:t>可使用群贴代付、后台提交或后台表格提交。提交前核对收款人、金额、收款类型、账号及产品编号，同一笔业务只选择一种方式提交。</w:t>
      </w:r>
    </w:p>
    <w:p>
      <w:pPr>
        <w:pStyle w:val="Heading2"/>
      </w:pPr>
      <w:r>
        <w:t>群贴代付</w:t>
      </w:r>
    </w:p>
    <w:p>
      <w:r>
        <w:t>在已绑定的商户群中 @机器人，按以下字段逐行填写：</w:t>
      </w:r>
    </w:p>
    <w:p>
      <w:pPr>
        <w:spacing w:after="100"/>
        <w:ind w:left="142"/>
      </w:pPr>
      <w:r>
        <w:rPr>
          <w:b/>
          <w:sz w:val="20"/>
        </w:rPr>
        <w:t>@机器人</w:t>
        <w:br/>
        <w:t>收款人：张三</w:t>
        <w:br/>
        <w:t>金额：100</w:t>
        <w:br/>
        <w:t>银行：实际银行名称</w:t>
        <w:br/>
        <w:t>账号：实际收款账号</w:t>
        <w:br/>
        <w:t>产品编号：实际产品编码</w:t>
      </w:r>
    </w:p>
    <w:p>
      <w:r>
        <w:t>以上为银行卡格式示例。其他收款类型按当前机器人提示填写，不要直接套用银行卡字段。提交后保存返回的订单号，先查单再决定后续处理。</w:t>
      </w:r>
    </w:p>
    <w:p>
      <w:pPr>
        <w:pStyle w:val="Heading2"/>
      </w:pPr>
      <w:r>
        <w:t>商户后台提交</w:t>
      </w:r>
    </w:p>
    <w:p>
      <w:r>
        <w:t>1. 登录商户后台，完成谷歌验证器绑定；首次绑定后需按群内通知完成确认，未经确认绑定不生效。</w:t>
      </w:r>
    </w:p>
    <w:p>
      <w:r>
        <w:t>2. 进入提交代付功能，填写收款信息、产品和金额。</w:t>
      </w:r>
    </w:p>
    <w:p>
      <w:r>
        <w:t>3. 复核信息，输入当次谷歌验证码后提交，检查订单记录。每次提交均需验证码。</w:t>
      </w:r>
    </w:p>
    <w:p>
      <w:pPr>
        <w:pStyle w:val="Heading2"/>
      </w:pPr>
      <w:r>
        <w:t>后台表格提交</w:t>
      </w:r>
    </w:p>
    <w:p>
      <w:r>
        <w:t>进入代付表格提交入口，按页面提供的字段要求或模板准备表格。提交前核对每行收款信息和金额，并检查是否包含已经提交的业务；提交后逐项核对返回结果。</w:t>
      </w:r>
    </w:p>
    <w:p>
      <w:r>
        <w:t>表格列名及填写要求以当前页面为准。不要使用其他系统或旧版模板。</w:t>
      </w:r>
    </w:p>
    <w:p>
      <w:pPr>
        <w:pStyle w:val="Heading2"/>
      </w:pPr>
      <w:r>
        <w:t>混合收款类型</w:t>
      </w:r>
    </w:p>
    <w:p>
      <w:r>
        <w:t>已配置混合收款类型通道时，填写正确的支付宝、微信、银行卡或U收款信息，并核对对应产品。提交结果以订单记录为准。</w:t>
      </w:r>
    </w:p>
    <w:p>
      <w:pPr>
        <w:pStyle w:val="Heading2"/>
      </w:pPr>
      <w:r>
        <w:t>没有立即返回结果</w:t>
      </w:r>
    </w:p>
    <w:p>
      <w:r>
        <w:t>先用商户单号或系统单号查询订单，确认是否已创建；不要因页面等待或消息延迟重复提交。无法确定时，将提交时间和业务单号交技术支持核查。</w:t>
      </w:r>
    </w:p>
    <w:p>
      <w:bookmarkStart w:id="108" w:name="chapter_9"/>
      <w:pPr>
        <w:pStyle w:val="Heading1"/>
      </w:pPr>
      <w:r>
        <w:t>九 代付查单与撤单</w:t>
      </w:r>
      <w:bookmarkEnd w:id="108"/>
    </w:p>
    <w:p>
      <w:pPr>
        <w:pStyle w:val="Heading2"/>
      </w:pPr>
      <w:r>
        <w:t>查单</w:t>
      </w:r>
    </w:p>
    <w:p>
      <w:pPr>
        <w:spacing w:after="100"/>
        <w:ind w:left="142"/>
      </w:pPr>
      <w:r>
        <w:rPr>
          <w:b/>
          <w:sz w:val="20"/>
        </w:rPr>
        <w:t>cd 订单号</w:t>
      </w:r>
    </w:p>
    <w:p>
      <w:r>
        <w:t>可填写商户单号或系统单号。查询范围受当前商户群或供应商群绑定对象限制；查不到时先核对业务类型、单号和群归属。</w:t>
      </w:r>
    </w:p>
    <w:p>
      <w:pPr>
        <w:pStyle w:val="Heading2"/>
      </w:pPr>
      <w:r>
        <w:t>催单</w:t>
      </w:r>
    </w:p>
    <w:p>
      <w:pPr>
        <w:spacing w:after="100"/>
        <w:ind w:left="142"/>
      </w:pPr>
      <w:r>
        <w:rPr>
          <w:b/>
          <w:sz w:val="20"/>
        </w:rPr>
        <w:t>c 订单号</w:t>
      </w:r>
    </w:p>
    <w:p>
      <w:r>
        <w:t>代付催单会提醒对应供应商群。催单用于请求处理进度，不能代替订单支付结果。</w:t>
      </w:r>
    </w:p>
    <w:p>
      <w:pPr>
        <w:pStyle w:val="Heading2"/>
      </w:pPr>
      <w:r>
        <w:t>供应商确认接手</w:t>
      </w:r>
    </w:p>
    <w:p>
      <w:r>
        <w:t>供应商在群内回复对应催办提醒并发送“1”，可确认已接手并停止该条催办提醒。此操作不会直接把订单变为支付成功。</w:t>
      </w:r>
    </w:p>
    <w:p>
      <w:pPr>
        <w:pStyle w:val="Heading2"/>
      </w:pPr>
      <w:r>
        <w:t>申请撤单</w:t>
      </w:r>
    </w:p>
    <w:p>
      <w:pPr>
        <w:spacing w:after="100"/>
        <w:ind w:left="142"/>
      </w:pPr>
      <w:r>
        <w:rPr>
          <w:b/>
          <w:sz w:val="20"/>
        </w:rPr>
        <w:t>代付撤单 商户单号</w:t>
      </w:r>
    </w:p>
    <w:p>
      <w:r>
        <w:t>多笔格式：</w:t>
      </w:r>
    </w:p>
    <w:p>
      <w:pPr>
        <w:spacing w:after="100"/>
        <w:ind w:left="142"/>
      </w:pPr>
      <w:r>
        <w:rPr>
          <w:b/>
          <w:sz w:val="20"/>
        </w:rPr>
        <w:t>代付撤单 单号1 单号2</w:t>
      </w:r>
    </w:p>
    <w:p>
      <w:r>
        <w:t>提交后核对每笔返回结果和最终状态。撤单申请不代表必然撤单成功；不要仅凭发送了命令就认为资金已退回或订单不再付款。</w:t>
      </w:r>
    </w:p>
    <w:p>
      <w:pPr>
        <w:pStyle w:val="Heading2"/>
      </w:pPr>
      <w:r>
        <w:t>撤单前后的核对</w:t>
      </w:r>
    </w:p>
    <w:p>
      <w:r>
        <w:t>1. 撤单前确认订单当前状态和供应商处理进度；已支付或是否支付不明确的订单，先核实。</w:t>
      </w:r>
    </w:p>
    <w:p>
      <w:r>
        <w:t>2. 撤单后查询订单记录和余额，确认最终结果。</w:t>
      </w:r>
    </w:p>
    <w:p>
      <w:r>
        <w:t>3. 需要重新发起时，先确认原单不会继续支付，避免同一业务重复付款。</w:t>
      </w:r>
    </w:p>
    <w:p>
      <w:pPr>
        <w:pStyle w:val="Heading2"/>
      </w:pPr>
      <w:r>
        <w:t>余额不足与供应商充值</w:t>
      </w:r>
    </w:p>
    <w:p>
      <w:r>
        <w:t>在设置的通知设置中，可为代付商户配置余额不足提醒。代付供应商如已开通自动打款充值与记账，可按已配置的档位及价格操作；提交前核对本次金额与返回记录。</w:t>
      </w:r>
    </w:p>
    <w:p>
      <w:bookmarkStart w:id="109" w:name="chapter_10"/>
      <w:pPr>
        <w:pStyle w:val="Heading1"/>
      </w:pPr>
      <w:r>
        <w:t>十 自动打款与地址使用</w:t>
      </w:r>
      <w:bookmarkEnd w:id="109"/>
    </w:p>
    <w:p>
      <w:r>
        <w:t>本章适用于已开通自动打款的客户。首次使用前，由运营人员确认钱包、管理群、管理员及相关额度配置。</w:t>
      </w:r>
    </w:p>
    <w:p>
      <w:pPr>
        <w:pStyle w:val="Heading2"/>
      </w:pPr>
      <w:r>
        <w:t>商户绑定固定地址</w:t>
      </w:r>
    </w:p>
    <w:p>
      <w:pPr>
        <w:spacing w:after="100"/>
        <w:ind w:left="142"/>
      </w:pPr>
      <w:r>
        <w:rPr>
          <w:b/>
          <w:sz w:val="20"/>
        </w:rPr>
        <w:t>/bddz 实际收款地址</w:t>
      </w:r>
    </w:p>
    <w:p>
      <w:r>
        <w:t>在对应商户群操作，核对机器人返回的绑定信息。商户自行申请打款使用已绑定固定地址；换地址前请先核对收款方身份和变更要求。</w:t>
      </w:r>
    </w:p>
    <w:p>
      <w:pPr>
        <w:pStyle w:val="Heading2"/>
      </w:pPr>
      <w:r>
        <w:t>商户申请下U</w:t>
      </w:r>
    </w:p>
    <w:p>
      <w:pPr>
        <w:spacing w:after="100"/>
        <w:ind w:left="142"/>
      </w:pPr>
      <w:r>
        <w:rPr>
          <w:b/>
          <w:sz w:val="20"/>
        </w:rPr>
        <w:t>/u</w:t>
      </w:r>
    </w:p>
    <w:p>
      <w:r>
        <w:t>根据机器人提示填写本次申请内容。平台可配置商户信用额度；申请前先查询可用金额，具体可申请数额以当前配置和机器人显示为准。</w:t>
      </w:r>
    </w:p>
    <w:p>
      <w:pPr>
        <w:pStyle w:val="Heading2"/>
      </w:pPr>
      <w:r>
        <w:t>管理员指定地址打款</w:t>
      </w:r>
    </w:p>
    <w:p>
      <w:pPr>
        <w:spacing w:after="100"/>
        <w:ind w:left="142"/>
      </w:pPr>
      <w:r>
        <w:rPr>
          <w:b/>
          <w:sz w:val="20"/>
        </w:rPr>
        <w:t>/u 实际收款地址 数量</w:t>
      </w:r>
    </w:p>
    <w:p>
      <w:r>
        <w:t>此格式由后台已设置的管理员使用。发送前核对地址、数量及当前群归属，按管理群提示完成确认。不要将示例地址或聊天中未经核实的地址直接用于打款。</w:t>
      </w:r>
    </w:p>
    <w:p>
      <w:pPr>
        <w:pStyle w:val="Heading2"/>
      </w:pPr>
      <w:r>
        <w:t>处理确认与异常</w:t>
      </w:r>
    </w:p>
    <w:p>
      <w:r>
        <w:t>自动打款需按管理群提示确认。长时间未完成时，在下U订单中检查记录；确认不再执行后，由有权限的人员处理撤回并核对资金状态。</w:t>
      </w:r>
    </w:p>
    <w:p>
      <w:r>
        <w:t>如提示钱包能量不足，先检查并补充所需资源，再按当前提示处理；不要连续重复发起相同打款。</w:t>
      </w:r>
    </w:p>
    <w:p>
      <w:pPr>
        <w:pStyle w:val="Heading2"/>
      </w:pPr>
      <w:r>
        <w:t>地址检测与备注</w:t>
      </w:r>
    </w:p>
    <w:p>
      <w:r>
        <w:t>已启用地址检测时，群内发送地址后可查看相关风险信息。地址备注功能可用于标识已核实的业务地址，群内再次出现时便于辨认。</w:t>
      </w:r>
    </w:p>
    <w:p>
      <w:r>
        <w:t>风险提示只用于辅助核验，不能单独证明地址安全，也不能凭出现次数判断设备一定被劫持。收到异常提示、首次使用或更换地址时，应通过可信方式向收款方再次确认。</w:t>
      </w:r>
    </w:p>
    <w:p>
      <w:r>
        <w:t>不要在群内发送钱包私钥、助记词或后台验证码。打款结果需结合订单记录和实际转账结果核对。</w:t>
      </w:r>
    </w:p>
    <w:p>
      <w:bookmarkStart w:id="110" w:name="chapter_11"/>
      <w:pPr>
        <w:pStyle w:val="Heading1"/>
      </w:pPr>
      <w:r>
        <w:t>十一 通知与群聊管理</w:t>
      </w:r>
      <w:bookmarkEnd w:id="110"/>
    </w:p>
    <w:p>
      <w:pPr>
        <w:pStyle w:val="Heading2"/>
      </w:pPr>
      <w:r>
        <w:t>商户无订单提醒</w:t>
      </w:r>
    </w:p>
    <w:p>
      <w:r>
        <w:t>用于发现商户较长时间没有订单的情况。可按业务需要调整提醒时间；收到提醒后，检查商户是否暂停业务、产品是否开通及通道是否可用，再联系商户确认。</w:t>
      </w:r>
    </w:p>
    <w:p>
      <w:pPr>
        <w:pStyle w:val="Heading2"/>
      </w:pPr>
      <w:r>
        <w:t>费率变更通知</w:t>
      </w:r>
    </w:p>
    <w:p>
      <w:r>
        <w:t>需要修改费率后自动通知商户群时，启用对应通知开关。修改后检查保存结果及通知内容；通知是否发送不能代替实际费率检查。</w:t>
      </w:r>
    </w:p>
    <w:p>
      <w:pPr>
        <w:pStyle w:val="Heading2"/>
      </w:pPr>
      <w:r>
        <w:t>查单提醒排除词</w:t>
      </w:r>
    </w:p>
    <w:p>
      <w:r>
        <w:t>当对方机器人固定回复的话术干扰查单处理时，可进入“设置”的“代收查单”相关配置，添加需要排除的固定词句并保存。</w:t>
      </w:r>
    </w:p>
    <w:p>
      <w:r>
        <w:t>仅填写明确需要忽略的话术，避免使用过于宽泛的词句。保存后检查是否仍能正常识别需要处理的真实回复。</w:t>
      </w:r>
    </w:p>
    <w:p>
      <w:pPr>
        <w:pStyle w:val="Heading2"/>
      </w:pPr>
      <w:r>
        <w:t>手动结束已处理的提醒</w:t>
      </w:r>
    </w:p>
    <w:p>
      <w:r>
        <w:t>在 TG管理的查单列表中，用订单号定位记录；确认订单问题已处理后，将查单记录设置为已回复。处理提醒记录前仍需核对订单实际结果。</w:t>
      </w:r>
    </w:p>
    <w:p>
      <w:pPr>
        <w:pStyle w:val="Heading2"/>
      </w:pPr>
      <w:r>
        <w:t>广播与撤回</w:t>
      </w:r>
    </w:p>
    <w:p>
      <w:r>
        <w:t>1. 管理员使用后台登记的 Telegram 账号私聊机器人，发送需要广播的消息。</w:t>
      </w:r>
    </w:p>
    <w:p>
      <w:r>
        <w:t>2. 回复刚发送的消息，选择发送范围：</w:t>
      </w:r>
    </w:p>
    <w:p>
      <w:pPr>
        <w:spacing w:after="100"/>
        <w:ind w:left="142"/>
      </w:pPr>
      <w:r>
        <w:rPr>
          <w:b/>
          <w:sz w:val="20"/>
        </w:rPr>
        <w:t>广播至代收商户</w:t>
        <w:br/>
        <w:t>广播至代付商户</w:t>
        <w:br/>
        <w:t>广播至供应商</w:t>
      </w:r>
    </w:p>
    <w:p>
      <w:r>
        <w:t>3. 查看机器人返回的广播详情。需要撤回时，回复广播成功后的那条消息，发送：</w:t>
      </w:r>
    </w:p>
    <w:p>
      <w:pPr>
        <w:spacing w:after="100"/>
        <w:ind w:left="142"/>
      </w:pPr>
      <w:r>
        <w:rPr>
          <w:b/>
          <w:sz w:val="20"/>
        </w:rPr>
        <w:t>撤回广播消息</w:t>
      </w:r>
    </w:p>
    <w:p>
      <w:r>
        <w:t>三个广播命令按需要选一个使用，不要把上面三行当作一条命令同时发送。广播前检查对象、费率、日期及联系方式。</w:t>
      </w:r>
    </w:p>
    <w:p>
      <w:pPr>
        <w:pStyle w:val="Heading2"/>
      </w:pPr>
      <w:r>
        <w:t>新人进群提醒</w:t>
      </w:r>
    </w:p>
    <w:p>
      <w:r>
        <w:t>已开通新人提醒时，可提示新成员核对开户资料与客服身份。初次合作通过已确认的联系方式核验，避免误入冒充群或向不明地址打款。</w:t>
      </w:r>
    </w:p>
    <w:p>
      <w:bookmarkStart w:id="111" w:name="chapter_12"/>
      <w:pPr>
        <w:pStyle w:val="Heading1"/>
      </w:pPr>
      <w:r>
        <w:t>十二 统计对账与每日结算</w:t>
      </w:r>
      <w:bookmarkEnd w:id="111"/>
    </w:p>
    <w:p>
      <w:pPr>
        <w:pStyle w:val="Heading2"/>
      </w:pPr>
      <w:r>
        <w:t>按目的选择报表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948"/>
        <w:gridCol w:w="4422"/>
      </w:tblGrid>
      <w:tr>
        <w:trPr>
          <w:tblHeader/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入口</w:t>
            </w:r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主要用途</w:t>
            </w:r>
          </w:p>
        </w:tc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核对重点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主页收入趋势</w:t>
            </w:r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查看分时段业务变化</w:t>
            </w:r>
          </w:p>
        </w:tc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先确认统计日期与指标名称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商户统计</w:t>
            </w:r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商户对账</w:t>
            </w:r>
          </w:p>
        </w:tc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商户、日期、金额及费用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供应商统计</w:t>
            </w:r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供应商对账</w:t>
            </w:r>
          </w:p>
        </w:tc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供应商、日期、金额及费用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商户成功率统计</w:t>
            </w:r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观察商户业务情况</w:t>
            </w:r>
          </w:p>
        </w:tc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查询区间与对应商户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供应商成功率统计</w:t>
            </w:r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观察供应商业务情况</w:t>
            </w:r>
          </w:p>
        </w:tc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查询区间与对应供应商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产品成功率统计</w:t>
            </w:r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观察产品表现</w:t>
            </w:r>
          </w:p>
        </w:tc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产品及查询区间</w:t>
            </w:r>
          </w:p>
        </w:tc>
      </w:tr>
    </w:tbl>
    <w:p>
      <w:r/>
    </w:p>
    <w:p>
      <w:pPr>
        <w:pStyle w:val="Heading2"/>
      </w:pPr>
      <w:r>
        <w:t>日常对账顺序</w:t>
      </w:r>
    </w:p>
    <w:p>
      <w:r>
        <w:t>1. 选择对象和日期，核对查询范围。机器人可先查 zd、zrzd，详细内容以后台对应报表查看。</w:t>
      </w:r>
    </w:p>
    <w:p>
      <w:r>
        <w:t>2. 对照订单记录、补单记录及资金调整，核对金额和费用。发现差异时先定位具体订单或操作，不要直接调余额。</w:t>
      </w:r>
    </w:p>
    <w:p>
      <w:r>
        <w:t>3. 核对实际收付款凭证和结算结果，记录需要进一步确认的事项。</w:t>
      </w:r>
    </w:p>
    <w:p>
      <w:pPr>
        <w:pStyle w:val="Heading2"/>
      </w:pPr>
      <w:r>
        <w:t>不停单的每日结算</w:t>
      </w:r>
    </w:p>
    <w:p>
      <w:r>
        <w:t>需要每日结算但业务不停单时，可在结算相关设置中启用“不日切”开关并保存。开启后，按北京时间每日零点结算上一自然日，并按配置处理预付对冲。</w:t>
      </w:r>
    </w:p>
    <w:p>
      <w:r>
        <w:t>核对某日结算时，注意订单回调时间与统计日期。人工关闭及定时结算总开关仍然有效；不清楚现有配置时，先请技术支持确认。关闭“不日切”后按原日切配置运行。</w:t>
      </w:r>
    </w:p>
    <w:p>
      <w:pPr>
        <w:pStyle w:val="Heading2"/>
      </w:pPr>
      <w:r>
        <w:t>结算结果检查</w:t>
      </w:r>
    </w:p>
    <w:p>
      <w:r>
        <w:t>结算后核对上一日账单、余额与预付项目。发现差异时，提供查询日期、对象、订单号和具体差额，交运营人员或技术支持核查。</w:t>
      </w:r>
    </w:p>
    <w:p>
      <w:r>
        <w:t>订单状态、机器人消息、报表和实际到账分别反映不同环节。确认业务完成时，应核对相应环节的结果。</w:t>
      </w:r>
    </w:p>
    <w:p>
      <w:bookmarkStart w:id="112" w:name="chapter_13"/>
      <w:pPr>
        <w:pStyle w:val="Heading1"/>
      </w:pPr>
      <w:r>
        <w:t>十三 对接测试与问题反馈</w:t>
      </w:r>
      <w:bookmarkEnd w:id="112"/>
    </w:p>
    <w:p>
      <w:pPr>
        <w:pStyle w:val="Heading2"/>
      </w:pPr>
      <w:r>
        <w:t>新商户回调测试</w:t>
      </w:r>
    </w:p>
    <w:p>
      <w:r>
        <w:t>确认平台已提供测试通道后，可按商户对接资料使用测试编码 cs1、测试金额1元进行代收回调测试。该测试用于检查商户接收回调的对接情况，不进入正式账单。</w:t>
      </w:r>
    </w:p>
    <w:p>
      <w:r>
        <w:rPr>
          <w:b/>
        </w:rPr>
        <w:t>注意：</w:t>
      </w:r>
      <w:r>
        <w:t>cs1仅用于对接测试，严禁配置为正式业务产品或用于正式跑量。测试成功也不代表真实支付、正式记账和结算已经完成。</w:t>
      </w:r>
    </w:p>
    <w:p>
      <w:pPr>
        <w:pStyle w:val="Heading2"/>
      </w:pPr>
      <w:r>
        <w:t>更换系统与供应商接入</w:t>
      </w:r>
    </w:p>
    <w:p>
      <w:r>
        <w:t>更换系统的商户，可将原系统接口文档交技术支持评估兼容接入方式，具体需要更改的配置以对接确认结果为准。新增供应商时提供正式接口文档和必要测试条件，完成后按约定验证。</w:t>
      </w:r>
    </w:p>
    <w:p>
      <w:pPr>
        <w:pStyle w:val="Heading2"/>
      </w:pPr>
      <w:r>
        <w:t>使用辅助机器人</w:t>
      </w:r>
    </w:p>
    <w:p>
      <w:r>
        <w:t>在群内 @辅助机器人或回复它的消息，直接说明问题，例如“如何绑定商户”“如何查看昨日账单”。订单问题请提供订单号和具体现象；供应商对接资料按技术支持要求提交。</w:t>
      </w:r>
    </w:p>
    <w:p>
      <w:pPr>
        <w:pStyle w:val="Heading2"/>
      </w:pPr>
      <w:r>
        <w:t>反馈问题时提供什么</w:t>
      </w:r>
    </w:p>
    <w:p>
      <w:r>
        <w:t>请提供业务类型、商户或供应商编号、系统单号或商户单号、问题发生时间、预期结果与实际结果，以及必要截图。截图中遮盖密码、验证码、密钥和无关个人资料。</w:t>
      </w:r>
    </w:p>
    <w:p>
      <w:pPr>
        <w:pStyle w:val="Heading2"/>
      </w:pPr>
      <w:r>
        <w:t>常见问题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blHeader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问题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24445C"/>
          </w:tcPr>
          <w:p>
            <w:pPr>
              <w:spacing w:after="40" w:before="40" w:line="280" w:lineRule="exact"/>
            </w:pPr>
            <w:r>
              <w:rPr>
                <w:b/>
                <w:color w:val="FFFFFF"/>
                <w:sz w:val="19"/>
              </w:rPr>
              <w:t>先做什么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机器人没有回复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确认机器人在群、绑定正确，并用 /start 查看帮助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订单查不到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核对单号、日期、业务类型及群归属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费率没有按预期变化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核对修改范围，再查 tdcx 和后台产品配置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代付或下U长时间未完成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2F5F7"/>
          </w:tcPr>
          <w:p>
            <w:pPr>
              <w:spacing w:after="40" w:before="40" w:line="280" w:lineRule="exact"/>
            </w:pPr>
            <w:r>
              <w:rPr>
                <w:sz w:val="19"/>
              </w:rPr>
              <w:t>查现有订单及确认提示，避免重复提交</w:t>
            </w:r>
          </w:p>
        </w:tc>
      </w:tr>
    </w:tbl>
    <w:p>
      <w:r/>
    </w:p>
    <w:p>
      <w:pPr>
        <w:pStyle w:val="Heading2"/>
      </w:pPr>
      <w:r>
        <w:t>本版纳入的近期更新</w:t>
      </w:r>
    </w:p>
    <w:p>
      <w:r>
        <w:t>2026年11月3日：管理组可使用 shye月.日 查询近七日指定日期总账单。2026年11月5日：代收新增“单号 补单金额”和“单号 回调”命令。具体格式及注意事项见第二、三章。</w:t>
      </w:r>
    </w:p>
    <w:sectPr w:rsidR="00FC693F" w:rsidRPr="0006063C" w:rsidSect="00034616">
      <w:footerReference w:type="default" r:id="rId9"/>
      <w:pgSz w:w="11906" w:h="16838"/>
      <w:pgMar w:top="1077" w:right="1134" w:bottom="964" w:left="113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6666"/>
        <w:sz w:val="16"/>
      </w:rPr>
      <w:t xml:space="preserve">万寻支付操作指导手册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Hiragino Sans GB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napToGrid w:val="0"/>
      <w:spacing w:line="310" w:lineRule="exact" w:after="120"/>
    </w:pPr>
    <w:rPr>
      <w:rFonts w:ascii="Arial" w:hAnsi="Arial" w:eastAsia="Hiragino Sans GB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widowControl/>
      <w:spacing w:before="480" w:after="240" w:line="540" w:lineRule="exact"/>
      <w:outlineLvl w:val="0"/>
      <w:snapToGrid w:val="0"/>
    </w:pPr>
    <w:rPr>
      <w:rFonts w:ascii="Arial" w:hAnsi="Arial" w:eastAsia="Hiragino Sans GB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 w:line="360" w:lineRule="exact"/>
      <w:outlineLvl w:val="1"/>
      <w:snapToGrid w:val="0"/>
    </w:pPr>
    <w:rPr>
      <w:rFonts w:ascii="Arial" w:hAnsi="Arial" w:eastAsia="Hiragino Sans GB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  <w:snapToGrid w:val="0"/>
    </w:pPr>
    <w:rPr>
      <w:rFonts w:ascii="Arial" w:hAnsi="Arial" w:eastAsia="Hiragino Sans GB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  <w:snapToGrid w:val="0"/>
    </w:pPr>
    <w:rPr>
      <w:rFonts w:eastAsia="Hiragino Sans GB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  <w:snapToGrid w:val="0"/>
    </w:pPr>
    <w:rPr>
      <w:rFonts w:eastAsia="Hiragino Sans GB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  <w:snapToGrid w:val="0"/>
    </w:pPr>
    <w:rPr>
      <w:rFonts w:eastAsia="Hiragino Sans GB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  <w:snapToGrid w:val="0"/>
    </w:pPr>
    <w:rPr>
      <w:rFonts w:eastAsia="Hiragino Sans GB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  <w:snapToGrid w:val="0"/>
    </w:pPr>
    <w:rPr>
      <w:rFonts w:eastAsia="Hiragino Sans GB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  <w:snapToGrid w:val="0"/>
    </w:pPr>
    <w:rPr>
      <w:rFonts w:eastAsia="Hiragino Sans GB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  <w:snapToGrid w:val="0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eastAsia="Hiragino Sans GB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eastAsia="Hiragino Sans GB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eastAsia="Hiragino Sans GB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00" w:line="240" w:lineRule="auto"/>
      <w:contextualSpacing/>
      <w:snapToGrid w:val="0"/>
    </w:pPr>
    <w:rPr>
      <w:rFonts w:ascii="Arial" w:hAnsi="Arial" w:eastAsia="Hiragino Sans GB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eastAsia="Hiragino Sans GB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napToGrid w:val="0"/>
      <w:spacing w:after="200"/>
    </w:pPr>
    <w:rPr>
      <w:rFonts w:ascii="Arial" w:hAnsi="Arial" w:eastAsia="Hiragino Sans GB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eastAsia="Hiragino Sans GB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  <w:snapToGrid w:val="0"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20"/>
      <w:snapToGrid w:val="0"/>
    </w:pPr>
    <w:rPr>
      <w:rFonts w:ascii="Arial" w:hAnsi="Arial" w:eastAsia="Hiragino Sans GB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  <w:snapToGrid w:val="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  <w:snapToGrid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  <w:snapToGrid w:val="0"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  <w:snapToGrid w:val="0"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  <w:snapToGrid w:val="0"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80"/>
      <w:contextualSpacing/>
      <w:snapToGrid w:val="0"/>
    </w:pPr>
    <w:rPr>
      <w:rFonts w:ascii="Arial" w:hAnsi="Arial" w:eastAsia="Hiragino Sans GB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  <w:snapToGrid w:val="0"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  <w:snapToGrid w:val="0"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after="80"/>
      <w:contextualSpacing/>
      <w:snapToGrid w:val="0"/>
    </w:pPr>
    <w:rPr>
      <w:rFonts w:ascii="Arial" w:hAnsi="Arial" w:eastAsia="Hiragino Sans GB"/>
      <w:color w:val="00000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  <w:snapToGrid w:val="0"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  <w:snapToGrid w:val="0"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  <w:snapToGrid w:val="0"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  <w:snapToGrid w:val="0"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  <w:snapToGrid w:val="0"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napToGrid w:val="0"/>
    </w:pPr>
    <w:rPr>
      <w:rFonts w:ascii="Courier" w:hAnsi="Courier" w:eastAsia="Hiragino Sans GB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Hiragino Sans GB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napToGrid w:val="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eastAsia="Hiragino Sans GB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eastAsia="Hiragino Sans GB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eastAsia="Hiragino Sans GB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eastAsia="Hiragino Sans GB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eastAsia="Hiragino Sans GB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eastAsia="Hiragino Sans GB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  <w:snapToGrid w:val="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  <w:snapToGrid w:val="0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  <w:snapToGrid w:val="0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Hiragino Sans GB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eastAsia="Hiragino Sans GB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eastAsia="Hiragino Sans GB"/>
        <w:b/>
        <w:bCs/>
      </w:rPr>
    </w:tblStylePr>
    <w:tblStylePr w:type="lastCol">
      <w:rPr>
        <w:rFonts w:eastAsia="Hiragino Sans GB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Hiragino Sans GB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eastAsia="Hiragino Sans GB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eastAsia="Hiragino Sans GB"/>
        <w:b/>
        <w:bCs/>
      </w:rPr>
    </w:tblStylePr>
    <w:tblStylePr w:type="lastCol">
      <w:rPr>
        <w:rFonts w:eastAsia="Hiragino Sans GB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Hiragino Sans GB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eastAsia="Hiragino Sans GB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eastAsia="Hiragino Sans GB"/>
        <w:b/>
        <w:bCs/>
      </w:rPr>
    </w:tblStylePr>
    <w:tblStylePr w:type="lastCol">
      <w:rPr>
        <w:rFonts w:eastAsia="Hiragino Sans GB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Hiragino Sans GB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eastAsia="Hiragino Sans GB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eastAsia="Hiragino Sans GB"/>
        <w:b/>
        <w:bCs/>
      </w:rPr>
    </w:tblStylePr>
    <w:tblStylePr w:type="lastCol">
      <w:rPr>
        <w:rFonts w:eastAsia="Hiragino Sans GB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Hiragino Sans GB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eastAsia="Hiragino Sans GB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eastAsia="Hiragino Sans GB"/>
        <w:b/>
        <w:bCs/>
      </w:rPr>
    </w:tblStylePr>
    <w:tblStylePr w:type="lastCol">
      <w:rPr>
        <w:rFonts w:eastAsia="Hiragino Sans GB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Hiragino Sans GB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eastAsia="Hiragino Sans GB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eastAsia="Hiragino Sans GB"/>
        <w:b/>
        <w:bCs/>
      </w:rPr>
    </w:tblStylePr>
    <w:tblStylePr w:type="lastCol">
      <w:rPr>
        <w:rFonts w:eastAsia="Hiragino Sans GB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Hiragino Sans GB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eastAsia="Hiragino Sans GB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eastAsia="Hiragino Sans GB"/>
        <w:b/>
        <w:bCs/>
      </w:rPr>
    </w:tblStylePr>
    <w:tblStylePr w:type="lastCol">
      <w:rPr>
        <w:rFonts w:eastAsia="Hiragino Sans GB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Hiragino Sans GB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Hiragino Sans GB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Hiragino Sans GB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Hiragino Sans GB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Hiragino Sans GB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Hiragino Sans GB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Hiragino Sans GB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eastAsia="Hiragino Sans GB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eastAsia="Hiragino Sans GB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eastAsia="Hiragino Sans GB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eastAsia="Hiragino Sans GB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eastAsia="Hiragino Sans GB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eastAsia="Hiragino Sans GB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eastAsia="Hiragino Sans GB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eastAsia="Hiragino Sans GB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eastAsia="Hiragino Sans GB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eastAsia="Hiragino Sans GB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eastAsia="Hiragino Sans GB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eastAsia="Hiragino Sans GB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eastAsia="Hiragino Sans GB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eastAsia="Hiragino Sans GB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万寻支付操作指导手册</dc:title>
  <dc:subject>客户使用版</dc:subject>
  <dc:creator>万寻支付</dc:creator>
  <cp:keywords>操作手册,客户使用,代收,代付,机器人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